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D4C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color w:val="000000"/>
          <w:sz w:val="36"/>
          <w:szCs w:val="36"/>
          <w:u w:val="none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昆明城市污水处理运营有限责任公司</w:t>
      </w:r>
    </w:p>
    <w:p w14:paraId="5A4914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202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6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年昆明主城、环湖各厂危险废物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委托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处置服务单位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选聘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项目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eastAsia="zh-CN"/>
        </w:rPr>
        <w:t>（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二次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eastAsia="zh-CN"/>
        </w:rPr>
        <w:t>）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流标公示</w:t>
      </w:r>
    </w:p>
    <w:p w14:paraId="69CB6A5A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</w:p>
    <w:p w14:paraId="633D4443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一、内容</w:t>
      </w:r>
    </w:p>
    <w:p w14:paraId="26D354FA"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昆明城市污水处理运营有限责任公司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安全与环境保护管理部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负责的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“昆明城市污水处理运营有限责任公司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2026年昆明主城、环湖各厂危险废物委托处置服务单位选聘项目（二次）”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截止至2026年2月14日，仅有1家投标人参与报名，投标人数不足三家，本项目作流标处理。</w:t>
      </w:r>
    </w:p>
    <w:p w14:paraId="0F1E0B1D">
      <w:p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二、联系方式</w:t>
      </w:r>
    </w:p>
    <w:p w14:paraId="605880E0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采购人：昆明城市污水处理运营有限责任公司</w:t>
      </w:r>
    </w:p>
    <w:p w14:paraId="4EF1576B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地址：昆明市官渡区官南大道2288号第二水质净化厂</w:t>
      </w:r>
    </w:p>
    <w:p w14:paraId="4810B693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吕娅萍</w:t>
      </w:r>
    </w:p>
    <w:p w14:paraId="47F2AFA3">
      <w:pPr>
        <w:wordWrap w:val="0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13529230482</w:t>
      </w:r>
    </w:p>
    <w:p w14:paraId="079116AE">
      <w:pPr>
        <w:wordWrap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1"/>
          <w:lang w:val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dd6ff780-c262-43e8-a3d6-17ba7a710b26</errorID>
      <errorWord>“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26D354FA</paraID>
      <start>30</start>
      <end>31</end>
      <status>unmodified</status>
      <modifiedWord/>
      <trackRevisions>false</trackRevisions>
    </reviewItem>
  </reviewItems>
  <config/>
</contractReview>
</file>